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907" w:rsidRDefault="00073C31"/>
    <w:tbl>
      <w:tblPr>
        <w:tblW w:w="0" w:type="auto"/>
        <w:tblBorders>
          <w:top w:val="nil"/>
          <w:left w:val="nil"/>
          <w:bottom w:val="nil"/>
          <w:right w:val="nil"/>
        </w:tblBorders>
        <w:tblLayout w:type="fixed"/>
        <w:tblLook w:val="0000"/>
      </w:tblPr>
      <w:tblGrid>
        <w:gridCol w:w="3160"/>
        <w:gridCol w:w="3160"/>
        <w:gridCol w:w="3160"/>
      </w:tblGrid>
      <w:tr w:rsidR="00073C31" w:rsidTr="00073C31">
        <w:tblPrEx>
          <w:tblCellMar>
            <w:top w:w="0" w:type="dxa"/>
            <w:bottom w:w="0" w:type="dxa"/>
          </w:tblCellMar>
        </w:tblPrEx>
        <w:trPr>
          <w:trHeight w:val="848"/>
        </w:trPr>
        <w:tc>
          <w:tcPr>
            <w:tcW w:w="9480" w:type="dxa"/>
            <w:gridSpan w:val="3"/>
            <w:tcBorders>
              <w:bottom w:val="single" w:sz="4" w:space="0" w:color="auto"/>
            </w:tcBorders>
          </w:tcPr>
          <w:p w:rsidR="00073C31" w:rsidRDefault="00073C31">
            <w:pPr>
              <w:pStyle w:val="Default"/>
              <w:rPr>
                <w:b/>
                <w:bCs/>
                <w:sz w:val="20"/>
                <w:szCs w:val="20"/>
              </w:rPr>
            </w:pPr>
            <w:r>
              <w:rPr>
                <w:b/>
                <w:bCs/>
                <w:sz w:val="20"/>
                <w:szCs w:val="20"/>
              </w:rPr>
              <w:t xml:space="preserve">PAID STAFF (FULL-TIME EQUIVALENT) </w:t>
            </w:r>
          </w:p>
          <w:p w:rsidR="00073C31" w:rsidRDefault="00073C31">
            <w:pPr>
              <w:pStyle w:val="Default"/>
              <w:rPr>
                <w:sz w:val="20"/>
                <w:szCs w:val="20"/>
              </w:rPr>
            </w:pPr>
          </w:p>
          <w:p w:rsidR="00073C31" w:rsidRDefault="00073C31">
            <w:pPr>
              <w:pStyle w:val="Default"/>
              <w:rPr>
                <w:sz w:val="20"/>
                <w:szCs w:val="20"/>
              </w:rPr>
            </w:pPr>
            <w:r>
              <w:rPr>
                <w:sz w:val="20"/>
                <w:szCs w:val="20"/>
              </w:rPr>
              <w:t xml:space="preserve">Report figures as of the last day of the fiscal year. Include all positions funded in the library’s budget whether those positions are filled or not. To ensure comparable data, 40 hours per week has been set as the measure of full-time employment (FTE). For example, 60 hours per week of part-time work by employees in a staff category divided by the 40-hour measure equals 1.50 FTEs. </w:t>
            </w:r>
          </w:p>
          <w:p w:rsidR="00073C31" w:rsidRDefault="00073C31">
            <w:pPr>
              <w:pStyle w:val="Default"/>
              <w:rPr>
                <w:sz w:val="20"/>
                <w:szCs w:val="20"/>
              </w:rPr>
            </w:pPr>
          </w:p>
        </w:tc>
      </w:tr>
      <w:tr w:rsidR="00073C31" w:rsidTr="00073C31">
        <w:tblPrEx>
          <w:tblCellMar>
            <w:top w:w="0" w:type="dxa"/>
            <w:bottom w:w="0" w:type="dxa"/>
          </w:tblCellMar>
        </w:tblPrEx>
        <w:trPr>
          <w:trHeight w:val="339"/>
        </w:trPr>
        <w:tc>
          <w:tcPr>
            <w:tcW w:w="3160" w:type="dxa"/>
            <w:tcBorders>
              <w:top w:val="single" w:sz="4" w:space="0" w:color="auto"/>
              <w:left w:val="single" w:sz="4" w:space="0" w:color="auto"/>
              <w:bottom w:val="single" w:sz="4" w:space="0" w:color="auto"/>
              <w:right w:val="single" w:sz="4" w:space="0" w:color="auto"/>
            </w:tcBorders>
          </w:tcPr>
          <w:p w:rsidR="00073C31" w:rsidRDefault="00073C31">
            <w:pPr>
              <w:pStyle w:val="Default"/>
              <w:rPr>
                <w:sz w:val="20"/>
                <w:szCs w:val="20"/>
              </w:rPr>
            </w:pPr>
            <w:r>
              <w:rPr>
                <w:sz w:val="20"/>
                <w:szCs w:val="20"/>
              </w:rPr>
              <w:t xml:space="preserve">250 </w:t>
            </w:r>
          </w:p>
        </w:tc>
        <w:tc>
          <w:tcPr>
            <w:tcW w:w="3160" w:type="dxa"/>
            <w:tcBorders>
              <w:top w:val="single" w:sz="4" w:space="0" w:color="auto"/>
              <w:left w:val="single" w:sz="4" w:space="0" w:color="auto"/>
              <w:bottom w:val="single" w:sz="4" w:space="0" w:color="auto"/>
              <w:right w:val="single" w:sz="4" w:space="0" w:color="auto"/>
            </w:tcBorders>
          </w:tcPr>
          <w:p w:rsidR="00073C31" w:rsidRDefault="00073C31">
            <w:pPr>
              <w:pStyle w:val="Default"/>
              <w:rPr>
                <w:sz w:val="20"/>
                <w:szCs w:val="20"/>
              </w:rPr>
            </w:pPr>
            <w:r>
              <w:rPr>
                <w:sz w:val="20"/>
                <w:szCs w:val="20"/>
              </w:rPr>
              <w:t xml:space="preserve">ALA-MLS </w:t>
            </w:r>
          </w:p>
        </w:tc>
        <w:tc>
          <w:tcPr>
            <w:tcW w:w="3160" w:type="dxa"/>
            <w:tcBorders>
              <w:top w:val="single" w:sz="4" w:space="0" w:color="auto"/>
              <w:left w:val="single" w:sz="4" w:space="0" w:color="auto"/>
              <w:bottom w:val="single" w:sz="4" w:space="0" w:color="auto"/>
              <w:right w:val="single" w:sz="4" w:space="0" w:color="auto"/>
            </w:tcBorders>
          </w:tcPr>
          <w:p w:rsidR="00073C31" w:rsidRDefault="00073C31">
            <w:pPr>
              <w:pStyle w:val="Default"/>
              <w:rPr>
                <w:sz w:val="20"/>
                <w:szCs w:val="20"/>
              </w:rPr>
            </w:pPr>
            <w:r>
              <w:rPr>
                <w:sz w:val="20"/>
                <w:szCs w:val="20"/>
              </w:rPr>
              <w:t xml:space="preserve">Librarians with master’s degrees from programs of library and information studies accredited by the American Library Association. </w:t>
            </w:r>
          </w:p>
        </w:tc>
      </w:tr>
      <w:tr w:rsidR="00073C31" w:rsidTr="00073C31">
        <w:tblPrEx>
          <w:tblCellMar>
            <w:top w:w="0" w:type="dxa"/>
            <w:bottom w:w="0" w:type="dxa"/>
          </w:tblCellMar>
        </w:tblPrEx>
        <w:trPr>
          <w:trHeight w:val="582"/>
        </w:trPr>
        <w:tc>
          <w:tcPr>
            <w:tcW w:w="3160" w:type="dxa"/>
            <w:tcBorders>
              <w:top w:val="single" w:sz="4" w:space="0" w:color="auto"/>
              <w:left w:val="single" w:sz="4" w:space="0" w:color="auto"/>
              <w:bottom w:val="single" w:sz="4" w:space="0" w:color="auto"/>
              <w:right w:val="single" w:sz="4" w:space="0" w:color="auto"/>
            </w:tcBorders>
          </w:tcPr>
          <w:p w:rsidR="00073C31" w:rsidRDefault="00073C31">
            <w:pPr>
              <w:pStyle w:val="Default"/>
              <w:rPr>
                <w:sz w:val="20"/>
                <w:szCs w:val="20"/>
              </w:rPr>
            </w:pPr>
            <w:r>
              <w:rPr>
                <w:sz w:val="20"/>
                <w:szCs w:val="20"/>
              </w:rPr>
              <w:t xml:space="preserve">251 </w:t>
            </w:r>
          </w:p>
        </w:tc>
        <w:tc>
          <w:tcPr>
            <w:tcW w:w="3160" w:type="dxa"/>
            <w:tcBorders>
              <w:top w:val="single" w:sz="4" w:space="0" w:color="auto"/>
              <w:left w:val="single" w:sz="4" w:space="0" w:color="auto"/>
              <w:bottom w:val="single" w:sz="4" w:space="0" w:color="auto"/>
              <w:right w:val="single" w:sz="4" w:space="0" w:color="auto"/>
            </w:tcBorders>
          </w:tcPr>
          <w:p w:rsidR="00073C31" w:rsidRDefault="00073C31">
            <w:pPr>
              <w:pStyle w:val="Default"/>
              <w:rPr>
                <w:sz w:val="20"/>
                <w:szCs w:val="20"/>
              </w:rPr>
            </w:pPr>
            <w:r>
              <w:rPr>
                <w:sz w:val="20"/>
                <w:szCs w:val="20"/>
              </w:rPr>
              <w:t xml:space="preserve">Total Librarians </w:t>
            </w:r>
          </w:p>
        </w:tc>
        <w:tc>
          <w:tcPr>
            <w:tcW w:w="3160" w:type="dxa"/>
            <w:tcBorders>
              <w:top w:val="single" w:sz="4" w:space="0" w:color="auto"/>
              <w:left w:val="single" w:sz="4" w:space="0" w:color="auto"/>
              <w:bottom w:val="single" w:sz="4" w:space="0" w:color="auto"/>
              <w:right w:val="single" w:sz="4" w:space="0" w:color="auto"/>
            </w:tcBorders>
          </w:tcPr>
          <w:p w:rsidR="00073C31" w:rsidRDefault="00073C31">
            <w:pPr>
              <w:pStyle w:val="Default"/>
              <w:rPr>
                <w:sz w:val="20"/>
                <w:szCs w:val="20"/>
              </w:rPr>
            </w:pPr>
            <w:r>
              <w:rPr>
                <w:sz w:val="20"/>
                <w:szCs w:val="20"/>
              </w:rPr>
              <w:t xml:space="preserve">Persons with the title of librarian who do paid work that usually requires professional training and skill in the theoretical or scientific aspects of library work, or both, as distinct from its mechanical or clerical aspect. This data element also includes ALA-MLS (data element #250). </w:t>
            </w:r>
          </w:p>
        </w:tc>
      </w:tr>
      <w:tr w:rsidR="00073C31" w:rsidTr="00073C31">
        <w:tblPrEx>
          <w:tblCellMar>
            <w:top w:w="0" w:type="dxa"/>
            <w:bottom w:w="0" w:type="dxa"/>
          </w:tblCellMar>
        </w:tblPrEx>
        <w:trPr>
          <w:trHeight w:val="338"/>
        </w:trPr>
        <w:tc>
          <w:tcPr>
            <w:tcW w:w="3160" w:type="dxa"/>
            <w:tcBorders>
              <w:top w:val="single" w:sz="4" w:space="0" w:color="auto"/>
              <w:left w:val="single" w:sz="4" w:space="0" w:color="auto"/>
              <w:bottom w:val="single" w:sz="4" w:space="0" w:color="auto"/>
              <w:right w:val="single" w:sz="4" w:space="0" w:color="auto"/>
            </w:tcBorders>
          </w:tcPr>
          <w:p w:rsidR="00073C31" w:rsidRDefault="00073C31">
            <w:pPr>
              <w:pStyle w:val="Default"/>
              <w:rPr>
                <w:sz w:val="20"/>
                <w:szCs w:val="20"/>
              </w:rPr>
            </w:pPr>
            <w:r>
              <w:rPr>
                <w:sz w:val="20"/>
                <w:szCs w:val="20"/>
              </w:rPr>
              <w:t xml:space="preserve">252 </w:t>
            </w:r>
          </w:p>
        </w:tc>
        <w:tc>
          <w:tcPr>
            <w:tcW w:w="3160" w:type="dxa"/>
            <w:tcBorders>
              <w:top w:val="single" w:sz="4" w:space="0" w:color="auto"/>
              <w:left w:val="single" w:sz="4" w:space="0" w:color="auto"/>
              <w:bottom w:val="single" w:sz="4" w:space="0" w:color="auto"/>
              <w:right w:val="single" w:sz="4" w:space="0" w:color="auto"/>
            </w:tcBorders>
          </w:tcPr>
          <w:p w:rsidR="00073C31" w:rsidRDefault="00073C31">
            <w:pPr>
              <w:pStyle w:val="Default"/>
              <w:rPr>
                <w:sz w:val="20"/>
                <w:szCs w:val="20"/>
              </w:rPr>
            </w:pPr>
            <w:r>
              <w:rPr>
                <w:sz w:val="20"/>
                <w:szCs w:val="20"/>
              </w:rPr>
              <w:t xml:space="preserve">All Other Paid Staff </w:t>
            </w:r>
          </w:p>
        </w:tc>
        <w:tc>
          <w:tcPr>
            <w:tcW w:w="3160" w:type="dxa"/>
            <w:tcBorders>
              <w:top w:val="single" w:sz="4" w:space="0" w:color="auto"/>
              <w:left w:val="single" w:sz="4" w:space="0" w:color="auto"/>
              <w:bottom w:val="single" w:sz="4" w:space="0" w:color="auto"/>
              <w:right w:val="single" w:sz="4" w:space="0" w:color="auto"/>
            </w:tcBorders>
          </w:tcPr>
          <w:p w:rsidR="00073C31" w:rsidRDefault="00073C31">
            <w:pPr>
              <w:pStyle w:val="Default"/>
              <w:rPr>
                <w:sz w:val="20"/>
                <w:szCs w:val="20"/>
              </w:rPr>
            </w:pPr>
            <w:r>
              <w:rPr>
                <w:sz w:val="20"/>
                <w:szCs w:val="20"/>
              </w:rPr>
              <w:t xml:space="preserve">This includes all other FTE employees paid from the reporting unit budget, including plant operations, security, and maintenance staff. </w:t>
            </w:r>
          </w:p>
        </w:tc>
      </w:tr>
      <w:tr w:rsidR="00073C31" w:rsidTr="00073C31">
        <w:tblPrEx>
          <w:tblCellMar>
            <w:top w:w="0" w:type="dxa"/>
            <w:bottom w:w="0" w:type="dxa"/>
          </w:tblCellMar>
        </w:tblPrEx>
        <w:trPr>
          <w:trHeight w:val="219"/>
        </w:trPr>
        <w:tc>
          <w:tcPr>
            <w:tcW w:w="3160" w:type="dxa"/>
            <w:tcBorders>
              <w:top w:val="single" w:sz="4" w:space="0" w:color="auto"/>
              <w:left w:val="single" w:sz="4" w:space="0" w:color="auto"/>
              <w:bottom w:val="single" w:sz="4" w:space="0" w:color="auto"/>
              <w:right w:val="single" w:sz="4" w:space="0" w:color="auto"/>
            </w:tcBorders>
          </w:tcPr>
          <w:p w:rsidR="00073C31" w:rsidRDefault="00073C31">
            <w:pPr>
              <w:pStyle w:val="Default"/>
              <w:rPr>
                <w:sz w:val="20"/>
                <w:szCs w:val="20"/>
              </w:rPr>
            </w:pPr>
            <w:r>
              <w:rPr>
                <w:sz w:val="20"/>
                <w:szCs w:val="20"/>
              </w:rPr>
              <w:t xml:space="preserve">253 </w:t>
            </w:r>
          </w:p>
        </w:tc>
        <w:tc>
          <w:tcPr>
            <w:tcW w:w="3160" w:type="dxa"/>
            <w:tcBorders>
              <w:top w:val="single" w:sz="4" w:space="0" w:color="auto"/>
              <w:left w:val="single" w:sz="4" w:space="0" w:color="auto"/>
              <w:bottom w:val="single" w:sz="4" w:space="0" w:color="auto"/>
              <w:right w:val="single" w:sz="4" w:space="0" w:color="auto"/>
            </w:tcBorders>
          </w:tcPr>
          <w:p w:rsidR="00073C31" w:rsidRDefault="00073C31">
            <w:pPr>
              <w:pStyle w:val="Default"/>
              <w:rPr>
                <w:sz w:val="20"/>
                <w:szCs w:val="20"/>
              </w:rPr>
            </w:pPr>
            <w:r>
              <w:rPr>
                <w:sz w:val="20"/>
                <w:szCs w:val="20"/>
              </w:rPr>
              <w:t xml:space="preserve">Total Paid Employees </w:t>
            </w:r>
          </w:p>
        </w:tc>
        <w:tc>
          <w:tcPr>
            <w:tcW w:w="3160" w:type="dxa"/>
            <w:tcBorders>
              <w:top w:val="single" w:sz="4" w:space="0" w:color="auto"/>
              <w:left w:val="single" w:sz="4" w:space="0" w:color="auto"/>
              <w:bottom w:val="single" w:sz="4" w:space="0" w:color="auto"/>
              <w:right w:val="single" w:sz="4" w:space="0" w:color="auto"/>
            </w:tcBorders>
          </w:tcPr>
          <w:p w:rsidR="00073C31" w:rsidRDefault="00073C31">
            <w:pPr>
              <w:pStyle w:val="Default"/>
              <w:rPr>
                <w:sz w:val="20"/>
                <w:szCs w:val="20"/>
              </w:rPr>
            </w:pPr>
            <w:r>
              <w:rPr>
                <w:sz w:val="20"/>
                <w:szCs w:val="20"/>
              </w:rPr>
              <w:t xml:space="preserve">This is the sum of Total Librarians and All Other Paid Staff (data elements #251 and #252). </w:t>
            </w:r>
          </w:p>
        </w:tc>
      </w:tr>
    </w:tbl>
    <w:p w:rsidR="00073C31" w:rsidRDefault="00073C31"/>
    <w:sectPr w:rsidR="00073C31" w:rsidSect="00C46365">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C31" w:rsidRDefault="00073C31" w:rsidP="00073C31">
      <w:pPr>
        <w:spacing w:after="0" w:line="240" w:lineRule="auto"/>
      </w:pPr>
      <w:r>
        <w:separator/>
      </w:r>
    </w:p>
  </w:endnote>
  <w:endnote w:type="continuationSeparator" w:id="0">
    <w:p w:rsidR="00073C31" w:rsidRDefault="00073C31" w:rsidP="00073C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C31" w:rsidRDefault="00073C31" w:rsidP="00073C31">
      <w:pPr>
        <w:spacing w:after="0" w:line="240" w:lineRule="auto"/>
      </w:pPr>
      <w:r>
        <w:separator/>
      </w:r>
    </w:p>
  </w:footnote>
  <w:footnote w:type="continuationSeparator" w:id="0">
    <w:p w:rsidR="00073C31" w:rsidRDefault="00073C31" w:rsidP="00073C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C31" w:rsidRDefault="00073C31">
    <w:pPr>
      <w:pStyle w:val="Header"/>
    </w:pPr>
    <w:r>
      <w:t>2015 Annual Statistical Report</w:t>
    </w:r>
  </w:p>
  <w:p w:rsidR="00073C31" w:rsidRDefault="00073C31">
    <w:pPr>
      <w:pStyle w:val="Header"/>
    </w:pPr>
    <w:r>
      <w:t>Staffing Directions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73C31"/>
    <w:rsid w:val="00073C31"/>
    <w:rsid w:val="00125E82"/>
    <w:rsid w:val="00870B38"/>
    <w:rsid w:val="008D6306"/>
    <w:rsid w:val="00B515FE"/>
    <w:rsid w:val="00C463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3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3C3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semiHidden/>
    <w:unhideWhenUsed/>
    <w:rsid w:val="00073C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73C31"/>
  </w:style>
  <w:style w:type="paragraph" w:styleId="Footer">
    <w:name w:val="footer"/>
    <w:basedOn w:val="Normal"/>
    <w:link w:val="FooterChar"/>
    <w:uiPriority w:val="99"/>
    <w:semiHidden/>
    <w:unhideWhenUsed/>
    <w:rsid w:val="00073C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73C3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174</Words>
  <Characters>996</Characters>
  <Application>Microsoft Office Word</Application>
  <DocSecurity>0</DocSecurity>
  <Lines>8</Lines>
  <Paragraphs>2</Paragraphs>
  <ScaleCrop>false</ScaleCrop>
  <Company>Mississippi Library Commission</Company>
  <LinksUpToDate>false</LinksUpToDate>
  <CharactersWithSpaces>1168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jgarretson</dc:creator>
  <cp:lastModifiedBy>jgarretson</cp:lastModifiedBy>
  <cp:revision>1</cp:revision>
  <dcterms:created xsi:type="dcterms:W3CDTF">2015-08-20T13:44:00Z</dcterms:created>
  <dcterms:modified xsi:type="dcterms:W3CDTF">2015-08-20T13:45:00Z</dcterms:modified>
</cp:coreProperties>
</file>